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8A757" w14:textId="70056E53" w:rsidR="004D6CE5" w:rsidRPr="00CB5499" w:rsidRDefault="004D6CE5" w:rsidP="00DC36CA">
      <w:pPr>
        <w:pStyle w:val="Romn"/>
        <w:jc w:val="center"/>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6920A00A"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w:t>
      </w:r>
      <w:r w:rsidR="00915CA5">
        <w:rPr>
          <w:rFonts w:asciiTheme="majorHAnsi" w:hAnsiTheme="majorHAnsi" w:cstheme="majorHAnsi"/>
          <w:sz w:val="20"/>
          <w:szCs w:val="20"/>
          <w:lang w:val="ro-RO"/>
        </w:rPr>
        <w:t>Adrian Petrusel</w:t>
      </w:r>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 durata stagiului, practicantul respectă regulamentul de ordine interioară al partenerului de practică. În cazul nerespectării acestui regulament, conducătorul partenerului de practică îşi rezervă dreptul de a anula convenţia-cadru, </w:t>
      </w:r>
      <w:r w:rsidRPr="00DC36CA">
        <w:rPr>
          <w:rFonts w:asciiTheme="majorHAnsi" w:hAnsiTheme="majorHAnsi" w:cstheme="majorHAnsi"/>
          <w:sz w:val="20"/>
          <w:szCs w:val="20"/>
          <w:lang w:val="ro-RO"/>
        </w:rPr>
        <w:lastRenderedPageBreak/>
        <w:t>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2798BB2B"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044CCC0B" w14:textId="60FD0DE1"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113C7B2B" w14:textId="43164E0D"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lastRenderedPageBreak/>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A66E83">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265" w:type="dxa"/>
            <w:vAlign w:val="center"/>
          </w:tcPr>
          <w:p w14:paraId="28E6CCA4" w14:textId="73D477E7" w:rsidR="00793370" w:rsidRPr="00FE200E" w:rsidRDefault="00793370" w:rsidP="00A66E83">
            <w:pPr>
              <w:pStyle w:val="Romn"/>
              <w:jc w:val="center"/>
              <w:rPr>
                <w:sz w:val="18"/>
                <w:szCs w:val="18"/>
              </w:rPr>
            </w:pPr>
            <w:r w:rsidRPr="00FE200E">
              <w:rPr>
                <w:sz w:val="18"/>
                <w:szCs w:val="18"/>
              </w:rPr>
              <w:t xml:space="preserve">Prof. univ. dr. </w:t>
            </w:r>
            <w:r w:rsidR="00EC479E">
              <w:rPr>
                <w:sz w:val="18"/>
                <w:szCs w:val="18"/>
              </w:rPr>
              <w:t>Adrian Petrusel</w:t>
            </w: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367B5">
      <w:pPr>
        <w:pStyle w:val="Romn"/>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1435834C" w14:textId="11527B19"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Nume şi prenume</w:t>
            </w:r>
          </w:p>
        </w:tc>
        <w:tc>
          <w:tcPr>
            <w:tcW w:w="2265" w:type="dxa"/>
            <w:vAlign w:val="center"/>
          </w:tcPr>
          <w:p w14:paraId="63FAB042" w14:textId="4B526BEC"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Funcţie</w:t>
            </w:r>
          </w:p>
        </w:tc>
        <w:tc>
          <w:tcPr>
            <w:tcW w:w="2266" w:type="dxa"/>
            <w:vAlign w:val="center"/>
          </w:tcPr>
          <w:p w14:paraId="2348AFEA" w14:textId="34030724"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Cadru didactic supervizor</w:t>
            </w:r>
          </w:p>
        </w:tc>
        <w:tc>
          <w:tcPr>
            <w:tcW w:w="2265" w:type="dxa"/>
            <w:vAlign w:val="center"/>
          </w:tcPr>
          <w:p w14:paraId="39FFAE5C"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20D0DB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787ACE1" w14:textId="77777777" w:rsidR="00793370" w:rsidRPr="00FE200E" w:rsidRDefault="00793370" w:rsidP="00740AC3">
            <w:pPr>
              <w:pStyle w:val="Romn"/>
              <w:jc w:val="center"/>
              <w:rPr>
                <w:rFonts w:asciiTheme="majorHAnsi" w:hAnsiTheme="majorHAnsi" w:cstheme="majorHAnsi"/>
                <w:sz w:val="18"/>
                <w:szCs w:val="18"/>
              </w:rPr>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Tutore</w:t>
            </w:r>
          </w:p>
        </w:tc>
        <w:tc>
          <w:tcPr>
            <w:tcW w:w="2265" w:type="dxa"/>
            <w:vAlign w:val="center"/>
          </w:tcPr>
          <w:p w14:paraId="583A8F34"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994A909" w14:textId="4F05C45D"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3725B4BB" w14:textId="77777777" w:rsidR="00793370" w:rsidRPr="00FE200E" w:rsidRDefault="00793370" w:rsidP="00740AC3">
            <w:pPr>
              <w:pStyle w:val="Romn"/>
              <w:jc w:val="center"/>
              <w:rPr>
                <w:rFonts w:asciiTheme="majorHAnsi" w:hAnsiTheme="majorHAnsi" w:cstheme="majorHAnsi"/>
                <w:sz w:val="18"/>
                <w:szCs w:val="18"/>
              </w:rPr>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Data</w:t>
            </w:r>
          </w:p>
        </w:tc>
        <w:tc>
          <w:tcPr>
            <w:tcW w:w="2265" w:type="dxa"/>
            <w:vAlign w:val="center"/>
          </w:tcPr>
          <w:p w14:paraId="63B2C19A"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BBA20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E83ECEE" w14:textId="77777777" w:rsidR="00793370" w:rsidRPr="00FE200E" w:rsidRDefault="00793370" w:rsidP="00740AC3">
            <w:pPr>
              <w:pStyle w:val="Romn"/>
              <w:jc w:val="center"/>
              <w:rPr>
                <w:rFonts w:asciiTheme="majorHAnsi" w:hAnsiTheme="majorHAnsi" w:cstheme="majorHAnsi"/>
                <w:sz w:val="18"/>
                <w:szCs w:val="18"/>
              </w:rPr>
            </w:pPr>
          </w:p>
        </w:tc>
      </w:tr>
    </w:tbl>
    <w:p w14:paraId="071D8C3A" w14:textId="585587F0" w:rsidR="00CC1613" w:rsidRPr="00FE200E" w:rsidRDefault="00CC1613" w:rsidP="005367B5">
      <w:pPr>
        <w:pStyle w:val="Romn"/>
        <w:rPr>
          <w:rFonts w:asciiTheme="majorHAnsi" w:hAnsiTheme="majorHAnsi" w:cstheme="majorHAnsi"/>
        </w:rPr>
      </w:pPr>
    </w:p>
    <w:p w14:paraId="644CE1B8" w14:textId="77777777" w:rsidR="00CC1613" w:rsidRPr="00FE200E" w:rsidRDefault="00CC1613">
      <w:pPr>
        <w:spacing w:after="160" w:line="259" w:lineRule="auto"/>
        <w:rPr>
          <w:rFonts w:asciiTheme="majorHAnsi" w:hAnsiTheme="majorHAnsi" w:cstheme="majorHAnsi"/>
          <w:sz w:val="20"/>
          <w:szCs w:val="20"/>
          <w:lang w:val="ro-RO"/>
        </w:rPr>
      </w:pPr>
      <w:r w:rsidRPr="00FE200E">
        <w:rPr>
          <w:rFonts w:asciiTheme="majorHAnsi" w:hAnsiTheme="majorHAnsi" w:cstheme="majorHAnsi"/>
        </w:rPr>
        <w:br w:type="page"/>
      </w:r>
    </w:p>
    <w:p w14:paraId="13896DCC" w14:textId="524E7CE9" w:rsidR="00207E5A" w:rsidRPr="00FE200E" w:rsidRDefault="00207E5A" w:rsidP="00207E5A">
      <w:pPr>
        <w:pStyle w:val="Title"/>
        <w:jc w:val="center"/>
        <w:rPr>
          <w:rFonts w:ascii="Cambria" w:eastAsia="Calibri" w:hAnsi="Cambria" w:cs="Courier New"/>
          <w:spacing w:val="0"/>
          <w:kern w:val="0"/>
          <w:sz w:val="20"/>
          <w:szCs w:val="20"/>
          <w:lang w:val="ro-RO"/>
        </w:rPr>
      </w:pPr>
      <w:r w:rsidRPr="00FE200E">
        <w:rPr>
          <w:rFonts w:ascii="Cambria" w:eastAsia="Calibri" w:hAnsi="Cambria" w:cs="Courier New"/>
          <w:spacing w:val="0"/>
          <w:kern w:val="0"/>
          <w:sz w:val="20"/>
          <w:szCs w:val="20"/>
          <w:lang w:val="ro-RO"/>
        </w:rPr>
        <w:lastRenderedPageBreak/>
        <w:t>Anexa nr. 1 la Convenția-cadru privind efectuarea stagiului de practică în cadrul programelor de studii universitare de licență sau masterat</w:t>
      </w:r>
    </w:p>
    <w:p w14:paraId="1A45F06C" w14:textId="77777777" w:rsidR="00207E5A" w:rsidRPr="00FE200E" w:rsidRDefault="00207E5A" w:rsidP="00207E5A">
      <w:pPr>
        <w:rPr>
          <w:rFonts w:ascii="Cambria" w:hAnsi="Cambria" w:cs="Courier New"/>
          <w:sz w:val="20"/>
          <w:szCs w:val="20"/>
          <w:lang w:val="ro-RO"/>
        </w:rPr>
      </w:pPr>
    </w:p>
    <w:p w14:paraId="08251363" w14:textId="77777777" w:rsidR="00207E5A" w:rsidRPr="00FE200E" w:rsidRDefault="00207E5A" w:rsidP="00207E5A">
      <w:pPr>
        <w:pStyle w:val="Subtitle"/>
        <w:jc w:val="center"/>
        <w:rPr>
          <w:rFonts w:ascii="Cambria" w:eastAsia="Calibri" w:hAnsi="Cambria" w:cs="Courier New"/>
          <w:color w:val="auto"/>
          <w:spacing w:val="0"/>
          <w:sz w:val="20"/>
          <w:szCs w:val="20"/>
          <w:lang w:val="ro-RO"/>
        </w:rPr>
      </w:pPr>
      <w:r w:rsidRPr="00FE200E">
        <w:rPr>
          <w:rFonts w:ascii="Cambria" w:eastAsia="Calibri" w:hAnsi="Cambria" w:cs="Courier New"/>
          <w:color w:val="auto"/>
          <w:spacing w:val="0"/>
          <w:sz w:val="20"/>
          <w:szCs w:val="20"/>
          <w:lang w:val="ro-RO"/>
        </w:rPr>
        <w:t>Portofoliul de practică</w:t>
      </w:r>
    </w:p>
    <w:p w14:paraId="116580A1" w14:textId="77777777" w:rsidR="00207E5A" w:rsidRPr="00FE200E" w:rsidRDefault="00207E5A" w:rsidP="00207E5A">
      <w:pPr>
        <w:spacing w:after="0" w:line="240" w:lineRule="auto"/>
        <w:jc w:val="both"/>
        <w:rPr>
          <w:rFonts w:ascii="Cambria" w:hAnsi="Cambria" w:cs="Courier New"/>
          <w:sz w:val="20"/>
          <w:szCs w:val="20"/>
          <w:lang w:val="ro-RO"/>
        </w:rPr>
      </w:pPr>
    </w:p>
    <w:p w14:paraId="7E0454C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 Durata totală a pregătirii practice:</w:t>
      </w:r>
    </w:p>
    <w:p w14:paraId="07359AFC"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2. Calendarul pregătirii:</w:t>
      </w:r>
    </w:p>
    <w:p w14:paraId="2E8761AE"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3. Perioada stagiului, timpul de lucru şi orarul (de precizat zilele de pregătire practică în cazul timpului de lucru parţial):</w:t>
      </w:r>
    </w:p>
    <w:p w14:paraId="1ABB2987"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4. Adresa unde se va derula stagiul de pregătire practică:</w:t>
      </w:r>
    </w:p>
    <w:p w14:paraId="1934E74D"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5. Deplasarea în afara locului unde este repartizat practicantul vizează următoarele locaţii:</w:t>
      </w:r>
    </w:p>
    <w:p w14:paraId="1D9A44D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6. Condiţii de primire a studentului/masterandului în stagiul de practică</w:t>
      </w:r>
    </w:p>
    <w:p w14:paraId="425004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7. Modalităţi prin care se asigură complementaritatea între pregătirea dobândită de studentul/masterandul în instituţia de învăţământ superior şi în cadrul stagiului de practică:</w:t>
      </w:r>
    </w:p>
    <w:p w14:paraId="12C6FABB"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8. Numele şi prenumele cadrului didactic care asigură supravegherea pedagogică a practicantului pe perioada stagiului de practică:</w:t>
      </w:r>
    </w:p>
    <w:p w14:paraId="768D9AB1"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9. Drepturi şi responsabilităţi ale cadrului didactic din unitatea de învăţământ - organizator al practicii, pe perioada stagiului de practică:</w:t>
      </w:r>
    </w:p>
    <w:p w14:paraId="3174726F"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10. Numele şi prenumele tutorelui desemnat de întreprindere care va asigura respectarea condiţiilor de pregătire şi dobândirea de către practicant a competenţelor profesionale planificate pentru perioada stagiului de practică:</w:t>
      </w:r>
    </w:p>
    <w:p w14:paraId="5B56E92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11. Drepturi şi responsabilităţi ale tutorelui de practică desemnat de partenerul de practică:</w:t>
      </w:r>
    </w:p>
    <w:p w14:paraId="303BA5C2"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12. Definirea competenţelor care vor fi dobândite pe perioada stagiului de practică:</w:t>
      </w:r>
    </w:p>
    <w:tbl>
      <w:tblPr>
        <w:tblStyle w:val="TableGrid"/>
        <w:tblW w:w="9209" w:type="dxa"/>
        <w:jc w:val="center"/>
        <w:tblLook w:val="04A0" w:firstRow="1" w:lastRow="0" w:firstColumn="1" w:lastColumn="0" w:noHBand="0" w:noVBand="1"/>
      </w:tblPr>
      <w:tblGrid>
        <w:gridCol w:w="462"/>
        <w:gridCol w:w="1701"/>
        <w:gridCol w:w="1701"/>
        <w:gridCol w:w="1701"/>
        <w:gridCol w:w="1701"/>
        <w:gridCol w:w="1943"/>
      </w:tblGrid>
      <w:tr w:rsidR="00FE200E" w:rsidRPr="00FE200E" w14:paraId="778FB0AE" w14:textId="77777777" w:rsidTr="00545E35">
        <w:trPr>
          <w:trHeight w:val="20"/>
          <w:jc w:val="center"/>
        </w:trPr>
        <w:tc>
          <w:tcPr>
            <w:tcW w:w="462" w:type="dxa"/>
          </w:tcPr>
          <w:p w14:paraId="7B52D179"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Nr.</w:t>
            </w:r>
          </w:p>
        </w:tc>
        <w:tc>
          <w:tcPr>
            <w:tcW w:w="1701" w:type="dxa"/>
          </w:tcPr>
          <w:p w14:paraId="333B1288"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Competenţa</w:t>
            </w:r>
          </w:p>
        </w:tc>
        <w:tc>
          <w:tcPr>
            <w:tcW w:w="1701" w:type="dxa"/>
          </w:tcPr>
          <w:p w14:paraId="7C42C3BE"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Modulul de pregătire</w:t>
            </w:r>
          </w:p>
        </w:tc>
        <w:tc>
          <w:tcPr>
            <w:tcW w:w="1701" w:type="dxa"/>
          </w:tcPr>
          <w:p w14:paraId="285C5626"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Locul de muncă</w:t>
            </w:r>
          </w:p>
        </w:tc>
        <w:tc>
          <w:tcPr>
            <w:tcW w:w="1701" w:type="dxa"/>
          </w:tcPr>
          <w:p w14:paraId="7961A8AC"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Activităţi planificate</w:t>
            </w:r>
          </w:p>
        </w:tc>
        <w:tc>
          <w:tcPr>
            <w:tcW w:w="1943" w:type="dxa"/>
          </w:tcPr>
          <w:p w14:paraId="3290C985"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Observaţii</w:t>
            </w:r>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77777777" w:rsidR="00207E5A" w:rsidRPr="00FE200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r w:rsidRPr="00FE200E">
        <w:rPr>
          <w:rFonts w:asciiTheme="majorHAnsi" w:hAnsiTheme="majorHAnsi" w:cstheme="majorHAnsi"/>
          <w:sz w:val="20"/>
          <w:szCs w:val="20"/>
        </w:rPr>
        <w:t>13. Modalităţi de evaluare a pregătirii profesionale dobândite de practicant pe perioada stagiului de pregătire practică</w:t>
      </w:r>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r w:rsidRPr="00FE200E">
              <w:rPr>
                <w:rFonts w:asciiTheme="majorHAnsi" w:hAnsiTheme="majorHAnsi" w:cstheme="majorHAnsi"/>
                <w:sz w:val="20"/>
                <w:szCs w:val="20"/>
              </w:rPr>
              <w:t>Cadru didactic supervizor</w:t>
            </w:r>
          </w:p>
        </w:tc>
        <w:tc>
          <w:tcPr>
            <w:tcW w:w="2364" w:type="dxa"/>
          </w:tcPr>
          <w:p w14:paraId="43FEF94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r w:rsidRPr="00FE200E">
              <w:rPr>
                <w:rFonts w:asciiTheme="majorHAnsi" w:hAnsiTheme="majorHAnsi" w:cstheme="majorHAnsi"/>
                <w:sz w:val="20"/>
                <w:szCs w:val="20"/>
              </w:rPr>
              <w:t>Tutore</w:t>
            </w:r>
          </w:p>
        </w:tc>
        <w:tc>
          <w:tcPr>
            <w:tcW w:w="2364" w:type="dxa"/>
          </w:tcPr>
          <w:p w14:paraId="27AF14C2" w14:textId="77777777" w:rsidR="00207E5A" w:rsidRPr="00FE200E" w:rsidRDefault="00207E5A" w:rsidP="00A903A1">
            <w:pPr>
              <w:autoSpaceDE w:val="0"/>
              <w:autoSpaceDN w:val="0"/>
              <w:adjustRightInd w:val="0"/>
              <w:jc w:val="center"/>
              <w:rPr>
                <w:rFonts w:asciiTheme="majorHAnsi" w:hAnsiTheme="majorHAnsi" w:cstheme="majorHAnsi"/>
                <w:sz w:val="20"/>
                <w:szCs w:val="20"/>
              </w:rPr>
            </w:pPr>
            <w:r w:rsidRPr="00FE200E">
              <w:rPr>
                <w:rFonts w:asciiTheme="majorHAnsi" w:hAnsiTheme="majorHAnsi" w:cstheme="majorHAnsi"/>
                <w:sz w:val="20"/>
                <w:szCs w:val="20"/>
              </w:rPr>
              <w:t>Practicant</w:t>
            </w:r>
          </w:p>
        </w:tc>
      </w:tr>
      <w:tr w:rsidR="00FE200E" w:rsidRPr="00FE200E" w14:paraId="51A48B1C" w14:textId="77777777" w:rsidTr="00545E35">
        <w:trPr>
          <w:trHeight w:val="567"/>
        </w:trPr>
        <w:tc>
          <w:tcPr>
            <w:tcW w:w="1843" w:type="dxa"/>
            <w:vAlign w:val="center"/>
          </w:tcPr>
          <w:p w14:paraId="036940B9" w14:textId="77777777"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Nume și prenume</w:t>
            </w:r>
          </w:p>
        </w:tc>
        <w:tc>
          <w:tcPr>
            <w:tcW w:w="2364" w:type="dxa"/>
          </w:tcPr>
          <w:p w14:paraId="77E499E0"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43FEAAEE" w14:textId="47EBF7FD"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Funcția</w:t>
            </w:r>
          </w:p>
        </w:tc>
        <w:tc>
          <w:tcPr>
            <w:tcW w:w="2364" w:type="dxa"/>
          </w:tcPr>
          <w:p w14:paraId="1BF0543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71C962B2" w14:textId="19132371"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Data și semnătura</w:t>
            </w:r>
          </w:p>
        </w:tc>
        <w:tc>
          <w:tcPr>
            <w:tcW w:w="2364" w:type="dxa"/>
          </w:tcPr>
          <w:p w14:paraId="55DC2FCA"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5367B5">
      <w:pPr>
        <w:pStyle w:val="Romn"/>
        <w:rPr>
          <w:rFonts w:asciiTheme="majorHAnsi" w:hAnsiTheme="majorHAnsi" w:cstheme="majorHAnsi"/>
        </w:rPr>
      </w:pPr>
    </w:p>
    <w:sectPr w:rsidR="00793370"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81036" w14:textId="77777777" w:rsidR="00450E5D" w:rsidRDefault="00450E5D" w:rsidP="002149C8">
      <w:pPr>
        <w:spacing w:after="0" w:line="240" w:lineRule="auto"/>
      </w:pPr>
      <w:r>
        <w:separator/>
      </w:r>
    </w:p>
  </w:endnote>
  <w:endnote w:type="continuationSeparator" w:id="0">
    <w:p w14:paraId="0F530C72" w14:textId="77777777" w:rsidR="00450E5D" w:rsidRDefault="00450E5D"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3E2C6537" w:rsidR="00915339" w:rsidRDefault="00915339">
        <w:pPr>
          <w:pStyle w:val="Footer"/>
          <w:jc w:val="center"/>
        </w:pPr>
        <w:r>
          <w:fldChar w:fldCharType="begin"/>
        </w:r>
        <w:r>
          <w:instrText xml:space="preserve"> PAGE   \* MERGEFORMAT </w:instrText>
        </w:r>
        <w:r>
          <w:fldChar w:fldCharType="separate"/>
        </w:r>
        <w:r w:rsidR="00C1465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3993" w14:textId="77777777" w:rsidR="00450E5D" w:rsidRDefault="00450E5D" w:rsidP="002149C8">
      <w:pPr>
        <w:spacing w:after="0" w:line="240" w:lineRule="auto"/>
      </w:pPr>
      <w:r>
        <w:separator/>
      </w:r>
    </w:p>
  </w:footnote>
  <w:footnote w:type="continuationSeparator" w:id="0">
    <w:p w14:paraId="6775DF92" w14:textId="77777777" w:rsidR="00450E5D" w:rsidRDefault="00450E5D"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97095">
    <w:abstractNumId w:val="4"/>
  </w:num>
  <w:num w:numId="2" w16cid:durableId="291447000">
    <w:abstractNumId w:val="1"/>
  </w:num>
  <w:num w:numId="3" w16cid:durableId="302467973">
    <w:abstractNumId w:val="1"/>
  </w:num>
  <w:num w:numId="4" w16cid:durableId="1707606276">
    <w:abstractNumId w:val="1"/>
  </w:num>
  <w:num w:numId="5" w16cid:durableId="545797431">
    <w:abstractNumId w:val="4"/>
  </w:num>
  <w:num w:numId="6" w16cid:durableId="580480981">
    <w:abstractNumId w:val="4"/>
  </w:num>
  <w:num w:numId="7" w16cid:durableId="730084418">
    <w:abstractNumId w:val="10"/>
  </w:num>
  <w:num w:numId="8" w16cid:durableId="1412195424">
    <w:abstractNumId w:val="3"/>
  </w:num>
  <w:num w:numId="9" w16cid:durableId="1575242340">
    <w:abstractNumId w:val="7"/>
  </w:num>
  <w:num w:numId="10" w16cid:durableId="2088652669">
    <w:abstractNumId w:val="11"/>
  </w:num>
  <w:num w:numId="11" w16cid:durableId="201017638">
    <w:abstractNumId w:val="8"/>
  </w:num>
  <w:num w:numId="12" w16cid:durableId="1389304686">
    <w:abstractNumId w:val="9"/>
  </w:num>
  <w:num w:numId="13" w16cid:durableId="1446733155">
    <w:abstractNumId w:val="2"/>
  </w:num>
  <w:num w:numId="14" w16cid:durableId="901020369">
    <w:abstractNumId w:val="6"/>
  </w:num>
  <w:num w:numId="15" w16cid:durableId="1970697632">
    <w:abstractNumId w:val="0"/>
  </w:num>
  <w:num w:numId="16" w16cid:durableId="1693916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207E5A"/>
    <w:rsid w:val="002149C8"/>
    <w:rsid w:val="00217A2E"/>
    <w:rsid w:val="00233E2C"/>
    <w:rsid w:val="002401E3"/>
    <w:rsid w:val="00241FDB"/>
    <w:rsid w:val="00256758"/>
    <w:rsid w:val="00260515"/>
    <w:rsid w:val="00293B06"/>
    <w:rsid w:val="002A526E"/>
    <w:rsid w:val="002E23B6"/>
    <w:rsid w:val="00343D53"/>
    <w:rsid w:val="00390811"/>
    <w:rsid w:val="003A7224"/>
    <w:rsid w:val="003E0AFC"/>
    <w:rsid w:val="003E1D45"/>
    <w:rsid w:val="0041499A"/>
    <w:rsid w:val="00450E5D"/>
    <w:rsid w:val="0046368A"/>
    <w:rsid w:val="004D6CE5"/>
    <w:rsid w:val="005115B8"/>
    <w:rsid w:val="005367B5"/>
    <w:rsid w:val="00544D21"/>
    <w:rsid w:val="00545E35"/>
    <w:rsid w:val="0059245A"/>
    <w:rsid w:val="00592AD5"/>
    <w:rsid w:val="005C1D12"/>
    <w:rsid w:val="005E2962"/>
    <w:rsid w:val="005E2FA2"/>
    <w:rsid w:val="0066535A"/>
    <w:rsid w:val="006D20A8"/>
    <w:rsid w:val="00740AC3"/>
    <w:rsid w:val="00777DA7"/>
    <w:rsid w:val="00793370"/>
    <w:rsid w:val="007D3356"/>
    <w:rsid w:val="007D450D"/>
    <w:rsid w:val="00850E76"/>
    <w:rsid w:val="008768BD"/>
    <w:rsid w:val="0088270D"/>
    <w:rsid w:val="008C75A9"/>
    <w:rsid w:val="00915339"/>
    <w:rsid w:val="00915CA5"/>
    <w:rsid w:val="00962B5F"/>
    <w:rsid w:val="00977C57"/>
    <w:rsid w:val="00A04F4A"/>
    <w:rsid w:val="00A10FB0"/>
    <w:rsid w:val="00A21C5C"/>
    <w:rsid w:val="00A6133E"/>
    <w:rsid w:val="00A66E83"/>
    <w:rsid w:val="00A71564"/>
    <w:rsid w:val="00AD3616"/>
    <w:rsid w:val="00B33067"/>
    <w:rsid w:val="00B456AC"/>
    <w:rsid w:val="00B57631"/>
    <w:rsid w:val="00B8053A"/>
    <w:rsid w:val="00B85C97"/>
    <w:rsid w:val="00BC3270"/>
    <w:rsid w:val="00BC6A55"/>
    <w:rsid w:val="00BF1771"/>
    <w:rsid w:val="00BF24C9"/>
    <w:rsid w:val="00C040BB"/>
    <w:rsid w:val="00C1465C"/>
    <w:rsid w:val="00C358EB"/>
    <w:rsid w:val="00C60A6C"/>
    <w:rsid w:val="00CB5499"/>
    <w:rsid w:val="00CC1613"/>
    <w:rsid w:val="00CE1401"/>
    <w:rsid w:val="00CF1F75"/>
    <w:rsid w:val="00D30B64"/>
    <w:rsid w:val="00D41261"/>
    <w:rsid w:val="00D8380F"/>
    <w:rsid w:val="00D90D58"/>
    <w:rsid w:val="00DC36CA"/>
    <w:rsid w:val="00DD6F7F"/>
    <w:rsid w:val="00DE0DAB"/>
    <w:rsid w:val="00DE588E"/>
    <w:rsid w:val="00E75D1B"/>
    <w:rsid w:val="00EB6350"/>
    <w:rsid w:val="00EC479E"/>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143CA5"/>
    <w:pPr>
      <w:spacing w:after="0" w:line="240" w:lineRule="auto"/>
      <w:jc w:val="both"/>
    </w:pPr>
    <w:rPr>
      <w:rFonts w:ascii="Calibri Light" w:hAnsi="Calibri Light" w:cs="Calibri Light"/>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8302-A665-43A5-9CAA-0A34C4C8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Judit Papp</cp:lastModifiedBy>
  <cp:revision>5</cp:revision>
  <cp:lastPrinted>2020-11-05T09:56:00Z</cp:lastPrinted>
  <dcterms:created xsi:type="dcterms:W3CDTF">2022-11-25T13:01:00Z</dcterms:created>
  <dcterms:modified xsi:type="dcterms:W3CDTF">2025-02-25T06:53:00Z</dcterms:modified>
</cp:coreProperties>
</file>